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1957 Cessna 182 Jump Plane</w:t>
      </w:r>
    </w:p>
    <w:p>
      <w:pPr>
        <w:jc w:val="center"/>
      </w:pPr>
      <w:r>
        <w:rPr>
          <w:b/>
        </w:rPr>
        <w:t>For Sale – $85,000 OBO</w:t>
      </w:r>
    </w:p>
    <w:p>
      <w:r>
        <w:drawing>
          <wp:inline xmlns:a="http://schemas.openxmlformats.org/drawingml/2006/main" xmlns:pic="http://schemas.openxmlformats.org/drawingml/2006/picture">
            <wp:extent cx="6217920" cy="4147304"/>
            <wp:docPr id="1" name="Picture 1"/>
            <wp:cNvGraphicFramePr>
              <a:graphicFrameLocks noChangeAspect="1"/>
            </wp:cNvGraphicFramePr>
            <a:graphic>
              <a:graphicData uri="http://schemas.openxmlformats.org/drawingml/2006/picture">
                <pic:pic>
                  <pic:nvPicPr>
                    <pic:cNvPr id="0" name="Media (10).jpg"/>
                    <pic:cNvPicPr/>
                  </pic:nvPicPr>
                  <pic:blipFill>
                    <a:blip r:embed="rId9"/>
                    <a:stretch>
                      <a:fillRect/>
                    </a:stretch>
                  </pic:blipFill>
                  <pic:spPr>
                    <a:xfrm>
                      <a:off x="0" y="0"/>
                      <a:ext cx="6217920" cy="4147304"/>
                    </a:xfrm>
                    <a:prstGeom prst="rect"/>
                  </pic:spPr>
                </pic:pic>
              </a:graphicData>
            </a:graphic>
          </wp:inline>
        </w:drawing>
      </w:r>
    </w:p>
    <w:p>
      <w:pPr>
        <w:pStyle w:val="Heading2"/>
      </w:pPr>
      <w:r>
        <w:t>Specifications</w:t>
      </w:r>
    </w:p>
    <w:tbl>
      <w:tblPr>
        <w:tblStyle w:val="TableGrid"/>
        <w:tblW w:type="auto" w:w="0"/>
        <w:tblLook w:firstColumn="1" w:firstRow="1" w:lastColumn="0" w:lastRow="0" w:noHBand="0" w:noVBand="1" w:val="04A0"/>
      </w:tblPr>
      <w:tblGrid>
        <w:gridCol w:w="5256"/>
        <w:gridCol w:w="5256"/>
      </w:tblGrid>
      <w:tr>
        <w:tc>
          <w:tcPr>
            <w:tcW w:type="dxa" w:w="5256"/>
          </w:tcPr>
          <w:p>
            <w:r>
              <w:t>Engine</w:t>
            </w:r>
          </w:p>
        </w:tc>
        <w:tc>
          <w:tcPr>
            <w:tcW w:type="dxa" w:w="5256"/>
          </w:tcPr>
          <w:p>
            <w:r>
              <w:t>Continental O-470</w:t>
            </w:r>
          </w:p>
        </w:tc>
      </w:tr>
      <w:tr>
        <w:tc>
          <w:tcPr>
            <w:tcW w:type="dxa" w:w="5256"/>
          </w:tcPr>
          <w:p>
            <w:r>
              <w:t>Current Tach</w:t>
            </w:r>
          </w:p>
        </w:tc>
        <w:tc>
          <w:tcPr>
            <w:tcW w:type="dxa" w:w="5256"/>
          </w:tcPr>
          <w:p>
            <w:r>
              <w:t>1306.5</w:t>
            </w:r>
          </w:p>
        </w:tc>
      </w:tr>
      <w:tr>
        <w:tc>
          <w:tcPr>
            <w:tcW w:type="dxa" w:w="5256"/>
          </w:tcPr>
          <w:p>
            <w:r>
              <w:t>Total Time Airframe (TTAF)</w:t>
            </w:r>
          </w:p>
        </w:tc>
        <w:tc>
          <w:tcPr>
            <w:tcW w:type="dxa" w:w="5256"/>
          </w:tcPr>
          <w:p>
            <w:r>
              <w:t>5,151</w:t>
            </w:r>
          </w:p>
        </w:tc>
      </w:tr>
      <w:tr>
        <w:tc>
          <w:tcPr>
            <w:tcW w:type="dxa" w:w="5256"/>
          </w:tcPr>
          <w:p>
            <w:r>
              <w:t>SMOH</w:t>
            </w:r>
          </w:p>
        </w:tc>
        <w:tc>
          <w:tcPr>
            <w:tcW w:type="dxa" w:w="5256"/>
          </w:tcPr>
          <w:p>
            <w:r>
              <w:t>997.4</w:t>
            </w:r>
          </w:p>
        </w:tc>
      </w:tr>
      <w:tr>
        <w:tc>
          <w:tcPr>
            <w:tcW w:type="dxa" w:w="5256"/>
          </w:tcPr>
          <w:p>
            <w:r>
              <w:t>Cylinders</w:t>
            </w:r>
          </w:p>
        </w:tc>
        <w:tc>
          <w:tcPr>
            <w:tcW w:type="dxa" w:w="5256"/>
          </w:tcPr>
          <w:p>
            <w:r>
              <w:t>Four cylinders recently replaced. Remaining cylinders have approximately 50 and 100 hours.</w:t>
            </w:r>
          </w:p>
        </w:tc>
      </w:tr>
      <w:tr>
        <w:tc>
          <w:tcPr>
            <w:tcW w:type="dxa" w:w="5256"/>
          </w:tcPr>
          <w:p>
            <w:r>
              <w:t>Last Annual</w:t>
            </w:r>
          </w:p>
        </w:tc>
        <w:tc>
          <w:tcPr>
            <w:tcW w:type="dxa" w:w="5256"/>
          </w:tcPr>
          <w:p>
            <w:r>
              <w:t>August 29, 2025</w:t>
            </w:r>
          </w:p>
        </w:tc>
      </w:tr>
      <w:tr>
        <w:tc>
          <w:tcPr>
            <w:tcW w:type="dxa" w:w="5256"/>
          </w:tcPr>
          <w:p>
            <w:r>
              <w:t>100-Hour Inspection Due</w:t>
            </w:r>
          </w:p>
        </w:tc>
        <w:tc>
          <w:tcPr>
            <w:tcW w:type="dxa" w:w="5256"/>
          </w:tcPr>
          <w:p>
            <w:r>
              <w:t>Tach 1367.1</w:t>
            </w:r>
          </w:p>
        </w:tc>
      </w:tr>
      <w:tr>
        <w:tc>
          <w:tcPr>
            <w:tcW w:type="dxa" w:w="5256"/>
          </w:tcPr>
          <w:p>
            <w:r>
              <w:t>STOL Kit</w:t>
            </w:r>
          </w:p>
        </w:tc>
        <w:tc>
          <w:tcPr>
            <w:tcW w:type="dxa" w:w="5256"/>
          </w:tcPr>
          <w:p>
            <w:r>
              <w:t>Wing-X STOL Extensions</w:t>
            </w:r>
          </w:p>
        </w:tc>
      </w:tr>
      <w:tr>
        <w:tc>
          <w:tcPr>
            <w:tcW w:type="dxa" w:w="5256"/>
          </w:tcPr>
          <w:p>
            <w:r>
              <w:t>Useful Load</w:t>
            </w:r>
          </w:p>
        </w:tc>
        <w:tc>
          <w:tcPr>
            <w:tcW w:type="dxa" w:w="5256"/>
          </w:tcPr>
          <w:p>
            <w:r>
              <w:t>1,352 lbs</w:t>
            </w:r>
          </w:p>
        </w:tc>
      </w:tr>
      <w:tr>
        <w:tc>
          <w:tcPr>
            <w:tcW w:type="dxa" w:w="5256"/>
          </w:tcPr>
          <w:p>
            <w:r>
              <w:t>ADS-B</w:t>
            </w:r>
          </w:p>
        </w:tc>
        <w:tc>
          <w:tcPr>
            <w:tcW w:type="dxa" w:w="5256"/>
          </w:tcPr>
          <w:p>
            <w:r>
              <w:t>ADS-B Out Compliant (TailBeacon)</w:t>
            </w:r>
          </w:p>
        </w:tc>
      </w:tr>
      <w:tr>
        <w:tc>
          <w:tcPr>
            <w:tcW w:type="dxa" w:w="5256"/>
          </w:tcPr>
          <w:p>
            <w:r>
              <w:t>Interior</w:t>
            </w:r>
          </w:p>
        </w:tc>
        <w:tc>
          <w:tcPr>
            <w:tcW w:type="dxa" w:w="5256"/>
          </w:tcPr>
          <w:p>
            <w:r>
              <w:t>5/10</w:t>
            </w:r>
          </w:p>
        </w:tc>
      </w:tr>
    </w:tbl>
    <w:p>
      <w:pPr>
        <w:pStyle w:val="Heading2"/>
      </w:pPr>
      <w:r>
        <w:t>Owner Comments</w:t>
      </w:r>
    </w:p>
    <w:p>
      <w:r>
        <w:t>This aircraft has been exceptionally well cared for and maintained under Part 91 operations. Every pilot who has flown her has enjoyed flying this airplane. She has always been hangared and offers the flexibility to remain a jump aircraft or be converted back to a personal or recreational aircraft, depending on your needs. With the recently installed cylinders, one of the major engine maintenance items has already been addressed, giving the next owner added peace of mind and helping reduce near-term maintenance costs.</w:t>
      </w:r>
    </w:p>
    <w:p>
      <w:pPr>
        <w:pStyle w:val="Heading2"/>
      </w:pPr>
      <w:r>
        <w:t>Highlights</w:t>
      </w:r>
    </w:p>
    <w:p>
      <w:pPr>
        <w:pStyle w:val="ListBullet"/>
      </w:pPr>
      <w:r>
        <w:t>Excellent jump plane with the flexibility to convert back to a personal aircraft.</w:t>
      </w:r>
    </w:p>
    <w:p>
      <w:pPr>
        <w:pStyle w:val="ListBullet"/>
      </w:pPr>
      <w:r>
        <w:t>Always hangared.</w:t>
      </w:r>
    </w:p>
    <w:p>
      <w:pPr>
        <w:pStyle w:val="ListBullet"/>
      </w:pPr>
      <w:r>
        <w:t>Wing-X STOL extensions for outstanding short-field performance.</w:t>
      </w:r>
    </w:p>
    <w:p>
      <w:pPr>
        <w:pStyle w:val="ListBullet"/>
      </w:pPr>
      <w:r>
        <w:t>ADS-B Out compliant.</w:t>
      </w:r>
    </w:p>
    <w:p>
      <w:pPr>
        <w:pStyle w:val="ListBullet"/>
      </w:pPr>
      <w:r>
        <w:t>Ready for work or weekend flying.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